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615D" w:rsidRPr="005D51C0" w:rsidRDefault="006E615D" w:rsidP="006F5C0D">
      <w:pPr>
        <w:rPr>
          <w:rFonts w:ascii="Times New Roman" w:hAnsi="Times New Roman" w:cs="Times New Roman"/>
          <w:sz w:val="24"/>
          <w:szCs w:val="24"/>
        </w:rPr>
      </w:pPr>
    </w:p>
    <w:p w:rsidR="00730CCA" w:rsidRPr="005D51C0" w:rsidRDefault="00730CCA" w:rsidP="006F5C0D">
      <w:pPr>
        <w:rPr>
          <w:rFonts w:ascii="Times New Roman" w:hAnsi="Times New Roman" w:cs="Times New Roman"/>
          <w:sz w:val="24"/>
          <w:szCs w:val="24"/>
        </w:rPr>
      </w:pPr>
    </w:p>
    <w:p w:rsidR="00730CCA" w:rsidRPr="005D51C0" w:rsidRDefault="00730CCA" w:rsidP="006F5C0D">
      <w:pPr>
        <w:rPr>
          <w:rFonts w:ascii="Times New Roman" w:hAnsi="Times New Roman" w:cs="Times New Roman"/>
          <w:sz w:val="24"/>
          <w:szCs w:val="24"/>
        </w:rPr>
      </w:pPr>
    </w:p>
    <w:p w:rsidR="00730CCA" w:rsidRPr="005D51C0" w:rsidRDefault="00730CCA" w:rsidP="006F5C0D">
      <w:pPr>
        <w:rPr>
          <w:rFonts w:ascii="Times New Roman" w:hAnsi="Times New Roman" w:cs="Times New Roman"/>
          <w:sz w:val="24"/>
          <w:szCs w:val="24"/>
        </w:rPr>
      </w:pPr>
    </w:p>
    <w:p w:rsidR="00730CCA" w:rsidRPr="005D51C0" w:rsidRDefault="00BD58F0" w:rsidP="006F5C0D">
      <w:pPr>
        <w:tabs>
          <w:tab w:val="left" w:pos="6420"/>
        </w:tabs>
        <w:rPr>
          <w:rFonts w:ascii="Times New Roman" w:hAnsi="Times New Roman" w:cs="Times New Roman"/>
          <w:sz w:val="24"/>
          <w:szCs w:val="24"/>
        </w:rPr>
      </w:pPr>
      <w:r>
        <w:rPr>
          <w:rFonts w:ascii="Times New Roman" w:hAnsi="Times New Roman" w:cs="Times New Roman"/>
          <w:sz w:val="24"/>
          <w:szCs w:val="24"/>
        </w:rPr>
        <w:tab/>
      </w:r>
    </w:p>
    <w:p w:rsidR="00A260C9" w:rsidRPr="005D51C0" w:rsidRDefault="00A260C9" w:rsidP="006F5C0D">
      <w:pPr>
        <w:rPr>
          <w:rFonts w:ascii="Times New Roman" w:hAnsi="Times New Roman" w:cs="Times New Roman"/>
          <w:sz w:val="24"/>
          <w:szCs w:val="24"/>
        </w:rPr>
      </w:pPr>
    </w:p>
    <w:p w:rsidR="00A260C9" w:rsidRPr="005D51C0" w:rsidRDefault="007F0D7A" w:rsidP="006F5C0D">
      <w:pPr>
        <w:jc w:val="center"/>
        <w:rPr>
          <w:rFonts w:ascii="Times New Roman" w:hAnsi="Times New Roman" w:cs="Times New Roman"/>
          <w:sz w:val="24"/>
          <w:szCs w:val="24"/>
        </w:rPr>
      </w:pPr>
      <w:r>
        <w:rPr>
          <w:rFonts w:ascii="Times New Roman" w:hAnsi="Times New Roman" w:cs="Times New Roman"/>
          <w:sz w:val="24"/>
          <w:szCs w:val="24"/>
        </w:rPr>
        <w:t>Small Business Law</w:t>
      </w:r>
    </w:p>
    <w:p w:rsidR="00A260C9" w:rsidRPr="005D51C0" w:rsidRDefault="00A260C9" w:rsidP="006F5C0D">
      <w:pPr>
        <w:spacing w:after="0"/>
        <w:jc w:val="center"/>
        <w:rPr>
          <w:rFonts w:ascii="Times New Roman" w:hAnsi="Times New Roman" w:cs="Times New Roman"/>
          <w:color w:val="000000" w:themeColor="text1"/>
          <w:sz w:val="24"/>
          <w:szCs w:val="24"/>
          <w:shd w:val="clear" w:color="auto" w:fill="FFFFFF"/>
        </w:rPr>
      </w:pPr>
      <w:r w:rsidRPr="005D51C0">
        <w:rPr>
          <w:rFonts w:ascii="Times New Roman" w:hAnsi="Times New Roman" w:cs="Times New Roman"/>
          <w:color w:val="000000" w:themeColor="text1"/>
          <w:sz w:val="24"/>
          <w:szCs w:val="24"/>
          <w:shd w:val="clear" w:color="auto" w:fill="FFFFFF"/>
        </w:rPr>
        <w:t xml:space="preserve">Name: </w:t>
      </w:r>
    </w:p>
    <w:p w:rsidR="00A260C9" w:rsidRDefault="00A260C9" w:rsidP="006F5C0D">
      <w:pPr>
        <w:spacing w:after="0"/>
        <w:jc w:val="center"/>
        <w:rPr>
          <w:rFonts w:ascii="Times New Roman" w:hAnsi="Times New Roman" w:cs="Times New Roman"/>
          <w:color w:val="000000" w:themeColor="text1"/>
          <w:sz w:val="24"/>
          <w:szCs w:val="24"/>
          <w:shd w:val="clear" w:color="auto" w:fill="FFFFFF"/>
        </w:rPr>
      </w:pPr>
      <w:r w:rsidRPr="005D51C0">
        <w:rPr>
          <w:rFonts w:ascii="Times New Roman" w:hAnsi="Times New Roman" w:cs="Times New Roman"/>
          <w:color w:val="000000" w:themeColor="text1"/>
          <w:sz w:val="24"/>
          <w:szCs w:val="24"/>
          <w:shd w:val="clear" w:color="auto" w:fill="FFFFFF"/>
        </w:rPr>
        <w:t>Course</w:t>
      </w:r>
      <w:r w:rsidR="00010D56">
        <w:rPr>
          <w:rFonts w:ascii="Times New Roman" w:hAnsi="Times New Roman" w:cs="Times New Roman"/>
          <w:color w:val="000000" w:themeColor="text1"/>
          <w:sz w:val="24"/>
          <w:szCs w:val="24"/>
          <w:shd w:val="clear" w:color="auto" w:fill="FFFFFF"/>
        </w:rPr>
        <w:t xml:space="preserve"> Tittle</w:t>
      </w:r>
      <w:r w:rsidRPr="005D51C0">
        <w:rPr>
          <w:rFonts w:ascii="Times New Roman" w:hAnsi="Times New Roman" w:cs="Times New Roman"/>
          <w:color w:val="000000" w:themeColor="text1"/>
          <w:sz w:val="24"/>
          <w:szCs w:val="24"/>
          <w:shd w:val="clear" w:color="auto" w:fill="FFFFFF"/>
        </w:rPr>
        <w:t>:</w:t>
      </w:r>
    </w:p>
    <w:p w:rsidR="00010D56" w:rsidRPr="005D51C0" w:rsidRDefault="00010D56" w:rsidP="006F5C0D">
      <w:pPr>
        <w:spacing w:after="0"/>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Course number:</w:t>
      </w:r>
    </w:p>
    <w:p w:rsidR="00A260C9" w:rsidRPr="005D51C0" w:rsidRDefault="00A260C9" w:rsidP="006F5C0D">
      <w:pPr>
        <w:spacing w:after="0"/>
        <w:jc w:val="center"/>
        <w:rPr>
          <w:rFonts w:ascii="Times New Roman" w:hAnsi="Times New Roman" w:cs="Times New Roman"/>
          <w:color w:val="000000" w:themeColor="text1"/>
          <w:sz w:val="24"/>
          <w:szCs w:val="24"/>
          <w:shd w:val="clear" w:color="auto" w:fill="FFFFFF"/>
        </w:rPr>
      </w:pPr>
      <w:r w:rsidRPr="005D51C0">
        <w:rPr>
          <w:rFonts w:ascii="Times New Roman" w:hAnsi="Times New Roman" w:cs="Times New Roman"/>
          <w:color w:val="000000" w:themeColor="text1"/>
          <w:sz w:val="24"/>
          <w:szCs w:val="24"/>
          <w:shd w:val="clear" w:color="auto" w:fill="FFFFFF"/>
        </w:rPr>
        <w:t xml:space="preserve">School affiliation: </w:t>
      </w:r>
    </w:p>
    <w:p w:rsidR="00A260C9" w:rsidRPr="005D51C0" w:rsidRDefault="00A260C9" w:rsidP="006F5C0D">
      <w:pPr>
        <w:jc w:val="center"/>
        <w:rPr>
          <w:rFonts w:ascii="Times New Roman" w:hAnsi="Times New Roman" w:cs="Times New Roman"/>
          <w:sz w:val="24"/>
          <w:szCs w:val="24"/>
        </w:rPr>
      </w:pPr>
      <w:r w:rsidRPr="005D51C0">
        <w:rPr>
          <w:rFonts w:ascii="Times New Roman" w:hAnsi="Times New Roman" w:cs="Times New Roman"/>
          <w:sz w:val="24"/>
          <w:szCs w:val="24"/>
        </w:rPr>
        <w:t>Date</w:t>
      </w:r>
      <w:r w:rsidR="00730CCA" w:rsidRPr="005D51C0">
        <w:rPr>
          <w:rFonts w:ascii="Times New Roman" w:hAnsi="Times New Roman" w:cs="Times New Roman"/>
          <w:sz w:val="24"/>
          <w:szCs w:val="24"/>
        </w:rPr>
        <w:t>:</w:t>
      </w:r>
    </w:p>
    <w:p w:rsidR="00730CCA" w:rsidRPr="005D51C0" w:rsidRDefault="00730CCA" w:rsidP="006F5C0D">
      <w:pPr>
        <w:jc w:val="center"/>
        <w:rPr>
          <w:rFonts w:ascii="Times New Roman" w:hAnsi="Times New Roman" w:cs="Times New Roman"/>
          <w:sz w:val="24"/>
          <w:szCs w:val="24"/>
        </w:rPr>
      </w:pPr>
    </w:p>
    <w:p w:rsidR="00730CCA" w:rsidRPr="005D51C0" w:rsidRDefault="00730CCA" w:rsidP="006F5C0D">
      <w:pPr>
        <w:jc w:val="center"/>
        <w:rPr>
          <w:rFonts w:ascii="Times New Roman" w:hAnsi="Times New Roman" w:cs="Times New Roman"/>
          <w:sz w:val="24"/>
          <w:szCs w:val="24"/>
        </w:rPr>
      </w:pPr>
    </w:p>
    <w:p w:rsidR="00730CCA" w:rsidRPr="005D51C0" w:rsidRDefault="00730CCA" w:rsidP="006F5C0D">
      <w:pPr>
        <w:jc w:val="center"/>
        <w:rPr>
          <w:rFonts w:ascii="Times New Roman" w:hAnsi="Times New Roman" w:cs="Times New Roman"/>
          <w:sz w:val="24"/>
          <w:szCs w:val="24"/>
        </w:rPr>
      </w:pPr>
    </w:p>
    <w:p w:rsidR="00730CCA" w:rsidRPr="005D51C0" w:rsidRDefault="00730CCA" w:rsidP="006F5C0D">
      <w:pPr>
        <w:jc w:val="center"/>
        <w:rPr>
          <w:rFonts w:ascii="Times New Roman" w:hAnsi="Times New Roman" w:cs="Times New Roman"/>
          <w:sz w:val="24"/>
          <w:szCs w:val="24"/>
        </w:rPr>
      </w:pPr>
    </w:p>
    <w:p w:rsidR="00730CCA" w:rsidRPr="005D51C0" w:rsidRDefault="00730CCA" w:rsidP="006F5C0D">
      <w:pPr>
        <w:jc w:val="center"/>
        <w:rPr>
          <w:rFonts w:ascii="Times New Roman" w:hAnsi="Times New Roman" w:cs="Times New Roman"/>
          <w:sz w:val="24"/>
          <w:szCs w:val="24"/>
        </w:rPr>
      </w:pPr>
    </w:p>
    <w:p w:rsidR="00730CCA" w:rsidRPr="005D51C0" w:rsidRDefault="00730CCA" w:rsidP="006F5C0D">
      <w:pPr>
        <w:jc w:val="center"/>
        <w:rPr>
          <w:rFonts w:ascii="Times New Roman" w:hAnsi="Times New Roman" w:cs="Times New Roman"/>
          <w:sz w:val="24"/>
          <w:szCs w:val="24"/>
        </w:rPr>
      </w:pPr>
    </w:p>
    <w:p w:rsidR="00730CCA" w:rsidRPr="005D51C0" w:rsidRDefault="00730CCA" w:rsidP="006F5C0D">
      <w:pPr>
        <w:jc w:val="center"/>
        <w:rPr>
          <w:rFonts w:ascii="Times New Roman" w:hAnsi="Times New Roman" w:cs="Times New Roman"/>
          <w:sz w:val="24"/>
          <w:szCs w:val="24"/>
        </w:rPr>
      </w:pPr>
    </w:p>
    <w:p w:rsidR="00730CCA" w:rsidRPr="005D51C0" w:rsidRDefault="00730CCA" w:rsidP="006F5C0D">
      <w:pPr>
        <w:jc w:val="center"/>
        <w:rPr>
          <w:rFonts w:ascii="Times New Roman" w:hAnsi="Times New Roman" w:cs="Times New Roman"/>
          <w:sz w:val="24"/>
          <w:szCs w:val="24"/>
        </w:rPr>
      </w:pPr>
    </w:p>
    <w:p w:rsidR="007F0D7A" w:rsidRDefault="007F0D7A" w:rsidP="006F5C0D">
      <w:pPr>
        <w:jc w:val="center"/>
        <w:rPr>
          <w:rFonts w:ascii="Times New Roman" w:hAnsi="Times New Roman" w:cs="Times New Roman"/>
          <w:b/>
          <w:sz w:val="24"/>
          <w:szCs w:val="24"/>
        </w:rPr>
      </w:pPr>
    </w:p>
    <w:p w:rsidR="003B10C0" w:rsidRPr="000C4583" w:rsidRDefault="000C4583" w:rsidP="006F5C0D">
      <w:pPr>
        <w:ind w:left="720" w:hanging="720"/>
        <w:jc w:val="center"/>
        <w:rPr>
          <w:rFonts w:ascii="Times New Roman" w:hAnsi="Times New Roman" w:cs="Times New Roman"/>
          <w:b/>
          <w:sz w:val="24"/>
          <w:szCs w:val="24"/>
        </w:rPr>
      </w:pPr>
      <w:r w:rsidRPr="000C4583">
        <w:rPr>
          <w:rFonts w:ascii="Times New Roman" w:hAnsi="Times New Roman" w:cs="Times New Roman"/>
          <w:b/>
          <w:sz w:val="24"/>
          <w:szCs w:val="24"/>
        </w:rPr>
        <w:lastRenderedPageBreak/>
        <w:t>Discuss the rules and regulations of the FTC funeral rule</w:t>
      </w:r>
    </w:p>
    <w:p w:rsidR="000C4583" w:rsidRDefault="000C4583" w:rsidP="006F5C0D">
      <w:pPr>
        <w:ind w:firstLine="720"/>
        <w:rPr>
          <w:rFonts w:ascii="Times New Roman" w:hAnsi="Times New Roman" w:cs="Times New Roman"/>
          <w:sz w:val="24"/>
          <w:szCs w:val="24"/>
        </w:rPr>
      </w:pPr>
      <w:r>
        <w:rPr>
          <w:rFonts w:ascii="Times New Roman" w:hAnsi="Times New Roman" w:cs="Times New Roman"/>
          <w:sz w:val="24"/>
          <w:szCs w:val="24"/>
        </w:rPr>
        <w:t xml:space="preserve">The funeral rule is enforced by the Federal Trade Commission (FTC) in the USA. The FTC makes it possible for one to choose the goods and services which are needed and to pay for the selected arrangements in the event of death or in advance. The </w:t>
      </w:r>
      <w:proofErr w:type="spellStart"/>
      <w:r w:rsidR="006E411C">
        <w:rPr>
          <w:rFonts w:ascii="Times New Roman" w:hAnsi="Times New Roman" w:cs="Times New Roman"/>
          <w:sz w:val="24"/>
          <w:szCs w:val="24"/>
        </w:rPr>
        <w:t>rules</w:t>
      </w:r>
      <w:r>
        <w:rPr>
          <w:rFonts w:ascii="Times New Roman" w:hAnsi="Times New Roman" w:cs="Times New Roman"/>
          <w:sz w:val="24"/>
          <w:szCs w:val="24"/>
        </w:rPr>
        <w:t>g</w:t>
      </w:r>
      <w:bookmarkStart w:id="0" w:name="_GoBack"/>
      <w:bookmarkEnd w:id="0"/>
      <w:r>
        <w:rPr>
          <w:rFonts w:ascii="Times New Roman" w:hAnsi="Times New Roman" w:cs="Times New Roman"/>
          <w:sz w:val="24"/>
          <w:szCs w:val="24"/>
        </w:rPr>
        <w:t>ive</w:t>
      </w:r>
      <w:proofErr w:type="spellEnd"/>
      <w:r>
        <w:rPr>
          <w:rFonts w:ascii="Times New Roman" w:hAnsi="Times New Roman" w:cs="Times New Roman"/>
          <w:sz w:val="24"/>
          <w:szCs w:val="24"/>
        </w:rPr>
        <w:t xml:space="preserve"> an individual an opportunity to compare prices of the different funeral homes and choose the services of interest. However, the rule does not apply to the third party dealers such as the cemeteries, or the monument dealers. The following are different rules </w:t>
      </w:r>
      <w:r w:rsidR="00B06198">
        <w:rPr>
          <w:rFonts w:ascii="Times New Roman" w:hAnsi="Times New Roman" w:cs="Times New Roman"/>
          <w:sz w:val="24"/>
          <w:szCs w:val="24"/>
        </w:rPr>
        <w:t xml:space="preserve">and regulations </w:t>
      </w:r>
      <w:r>
        <w:rPr>
          <w:rFonts w:ascii="Times New Roman" w:hAnsi="Times New Roman" w:cs="Times New Roman"/>
          <w:sz w:val="24"/>
          <w:szCs w:val="24"/>
        </w:rPr>
        <w:t>under FTC;</w:t>
      </w:r>
    </w:p>
    <w:p w:rsidR="000C4583" w:rsidRDefault="000B1D67" w:rsidP="006F5C0D">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Get price information on mobile</w:t>
      </w:r>
    </w:p>
    <w:p w:rsidR="000B1D67" w:rsidRDefault="000B1D67" w:rsidP="006F5C0D">
      <w:pPr>
        <w:rPr>
          <w:rFonts w:ascii="Times New Roman" w:hAnsi="Times New Roman" w:cs="Times New Roman"/>
          <w:sz w:val="24"/>
          <w:szCs w:val="24"/>
        </w:rPr>
      </w:pPr>
      <w:r>
        <w:rPr>
          <w:rFonts w:ascii="Times New Roman" w:hAnsi="Times New Roman" w:cs="Times New Roman"/>
          <w:sz w:val="24"/>
          <w:szCs w:val="24"/>
        </w:rPr>
        <w:t>The funeral directors must give the interested party right information on the pricing. The individual can be emailed or telephoned to get the details even without them disclosing details such as names etc.</w:t>
      </w:r>
    </w:p>
    <w:p w:rsidR="000B1D67" w:rsidRDefault="000B1D67" w:rsidP="006F5C0D">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Buy only from the funeral home of interest</w:t>
      </w:r>
    </w:p>
    <w:p w:rsidR="000B1D67" w:rsidRDefault="000B1D67" w:rsidP="006F5C0D">
      <w:pPr>
        <w:rPr>
          <w:rFonts w:ascii="Times New Roman" w:hAnsi="Times New Roman" w:cs="Times New Roman"/>
          <w:sz w:val="24"/>
          <w:szCs w:val="24"/>
        </w:rPr>
      </w:pPr>
      <w:r>
        <w:rPr>
          <w:rFonts w:ascii="Times New Roman" w:hAnsi="Times New Roman" w:cs="Times New Roman"/>
          <w:sz w:val="24"/>
          <w:szCs w:val="24"/>
        </w:rPr>
        <w:t>The individual has the right to buy from their funeral home of choice.</w:t>
      </w:r>
    </w:p>
    <w:p w:rsidR="000B1D67" w:rsidRDefault="000B1D67" w:rsidP="006F5C0D">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Get a written and itemized pricing list of any visited funeral home</w:t>
      </w:r>
    </w:p>
    <w:p w:rsidR="000B1D67" w:rsidRDefault="000B1D67" w:rsidP="006F5C0D">
      <w:pPr>
        <w:rPr>
          <w:rFonts w:ascii="Times New Roman" w:hAnsi="Times New Roman" w:cs="Times New Roman"/>
          <w:sz w:val="24"/>
          <w:szCs w:val="24"/>
        </w:rPr>
      </w:pPr>
      <w:r>
        <w:rPr>
          <w:rFonts w:ascii="Times New Roman" w:hAnsi="Times New Roman" w:cs="Times New Roman"/>
          <w:sz w:val="24"/>
          <w:szCs w:val="24"/>
        </w:rPr>
        <w:t>The funeral home must provide the General Price List (GPL).</w:t>
      </w:r>
    </w:p>
    <w:p w:rsidR="000B1D67" w:rsidRDefault="000B1D67" w:rsidP="006F5C0D">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See the written casket price before getting the actual caskets</w:t>
      </w:r>
    </w:p>
    <w:p w:rsidR="000B1D67" w:rsidRDefault="000B1D67" w:rsidP="006F5C0D">
      <w:pPr>
        <w:rPr>
          <w:rFonts w:ascii="Times New Roman" w:hAnsi="Times New Roman" w:cs="Times New Roman"/>
          <w:sz w:val="24"/>
          <w:szCs w:val="24"/>
        </w:rPr>
      </w:pPr>
      <w:r>
        <w:rPr>
          <w:rFonts w:ascii="Times New Roman" w:hAnsi="Times New Roman" w:cs="Times New Roman"/>
          <w:sz w:val="24"/>
          <w:szCs w:val="24"/>
        </w:rPr>
        <w:t>The casket price ought to be in the GPL or if necessary provided in a separate casket price</w:t>
      </w:r>
    </w:p>
    <w:p w:rsidR="000B1D67" w:rsidRDefault="000B1D67" w:rsidP="006F5C0D">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See a written outer burial container price list</w:t>
      </w:r>
    </w:p>
    <w:p w:rsidR="000B1D67" w:rsidRPr="000B1D67" w:rsidRDefault="00147E74" w:rsidP="006F5C0D">
      <w:pPr>
        <w:rPr>
          <w:rFonts w:ascii="Times New Roman" w:hAnsi="Times New Roman" w:cs="Times New Roman"/>
          <w:sz w:val="24"/>
          <w:szCs w:val="24"/>
        </w:rPr>
      </w:pPr>
      <w:r>
        <w:rPr>
          <w:rFonts w:ascii="Times New Roman" w:hAnsi="Times New Roman" w:cs="Times New Roman"/>
          <w:sz w:val="24"/>
          <w:szCs w:val="24"/>
        </w:rPr>
        <w:t>In the state law, outer burial containers are not needed but they are important to prevent the grave from caving in. if the funeral home does not list the price of the container in the GPL, one has the right to see a price list before seeing the containers.</w:t>
      </w:r>
    </w:p>
    <w:p w:rsidR="000C4583" w:rsidRDefault="00147E74" w:rsidP="006F5C0D">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Get a written statement after deciding what one wants and before paying</w:t>
      </w:r>
    </w:p>
    <w:p w:rsidR="00147E74" w:rsidRDefault="00147E74" w:rsidP="006F5C0D">
      <w:pPr>
        <w:rPr>
          <w:rFonts w:ascii="Times New Roman" w:hAnsi="Times New Roman" w:cs="Times New Roman"/>
          <w:sz w:val="24"/>
          <w:szCs w:val="24"/>
        </w:rPr>
      </w:pPr>
      <w:r>
        <w:rPr>
          <w:rFonts w:ascii="Times New Roman" w:hAnsi="Times New Roman" w:cs="Times New Roman"/>
          <w:sz w:val="24"/>
          <w:szCs w:val="24"/>
        </w:rPr>
        <w:t xml:space="preserve">The pricing must match each item being bought. </w:t>
      </w:r>
    </w:p>
    <w:p w:rsidR="00147E74" w:rsidRDefault="00147E74" w:rsidP="006F5C0D">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Get a written explanation statement of any legal cemetery and requirements from the funeral home</w:t>
      </w:r>
    </w:p>
    <w:p w:rsidR="006F5C0D" w:rsidRPr="006F5C0D" w:rsidRDefault="006F5C0D" w:rsidP="006F5C0D">
      <w:pPr>
        <w:rPr>
          <w:rFonts w:ascii="Times New Roman" w:hAnsi="Times New Roman" w:cs="Times New Roman"/>
          <w:sz w:val="24"/>
          <w:szCs w:val="24"/>
        </w:rPr>
      </w:pPr>
      <w:r>
        <w:rPr>
          <w:rFonts w:ascii="Times New Roman" w:hAnsi="Times New Roman" w:cs="Times New Roman"/>
          <w:sz w:val="24"/>
          <w:szCs w:val="24"/>
        </w:rPr>
        <w:t xml:space="preserve">This requires one to buy funeral goods or services </w:t>
      </w:r>
    </w:p>
    <w:p w:rsidR="00147E74" w:rsidRDefault="00147E74" w:rsidP="006F5C0D">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 xml:space="preserve">Use an “alternative container” instead of the casket for cremation </w:t>
      </w:r>
    </w:p>
    <w:p w:rsidR="006F5C0D" w:rsidRPr="006F5C0D" w:rsidRDefault="006F5C0D" w:rsidP="006F5C0D">
      <w:pPr>
        <w:rPr>
          <w:rFonts w:ascii="Times New Roman" w:hAnsi="Times New Roman" w:cs="Times New Roman"/>
          <w:sz w:val="24"/>
          <w:szCs w:val="24"/>
        </w:rPr>
      </w:pPr>
      <w:r>
        <w:rPr>
          <w:rFonts w:ascii="Times New Roman" w:hAnsi="Times New Roman" w:cs="Times New Roman"/>
          <w:sz w:val="24"/>
          <w:szCs w:val="24"/>
        </w:rPr>
        <w:t>No state law needs one to use a casket for cremation.</w:t>
      </w:r>
    </w:p>
    <w:p w:rsidR="00147E74" w:rsidRDefault="00147E74" w:rsidP="006F5C0D">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Give the funeral home a casket or urn bought from elsewhere e.g. online</w:t>
      </w:r>
    </w:p>
    <w:p w:rsidR="006F5C0D" w:rsidRPr="006F5C0D" w:rsidRDefault="006F5C0D" w:rsidP="006F5C0D">
      <w:pPr>
        <w:rPr>
          <w:rFonts w:ascii="Times New Roman" w:hAnsi="Times New Roman" w:cs="Times New Roman"/>
          <w:sz w:val="24"/>
          <w:szCs w:val="24"/>
        </w:rPr>
      </w:pPr>
      <w:r>
        <w:rPr>
          <w:rFonts w:ascii="Times New Roman" w:hAnsi="Times New Roman" w:cs="Times New Roman"/>
          <w:sz w:val="24"/>
          <w:szCs w:val="24"/>
        </w:rPr>
        <w:t>The funeral home/provider cannot refuse to handle or charge for a casket provided to them</w:t>
      </w:r>
    </w:p>
    <w:p w:rsidR="00147E74" w:rsidRDefault="00147E74" w:rsidP="006F5C0D">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 xml:space="preserve">Make funeral arrangements without embalming </w:t>
      </w:r>
    </w:p>
    <w:p w:rsidR="00147E74" w:rsidRPr="00147E74" w:rsidRDefault="006F5C0D" w:rsidP="006F5C0D">
      <w:pPr>
        <w:rPr>
          <w:rFonts w:ascii="Times New Roman" w:hAnsi="Times New Roman" w:cs="Times New Roman"/>
          <w:sz w:val="24"/>
          <w:szCs w:val="24"/>
        </w:rPr>
      </w:pPr>
      <w:r>
        <w:rPr>
          <w:rFonts w:ascii="Times New Roman" w:hAnsi="Times New Roman" w:cs="Times New Roman"/>
          <w:sz w:val="24"/>
          <w:szCs w:val="24"/>
        </w:rPr>
        <w:t>No state law which needs routine embalming for every death.</w:t>
      </w:r>
    </w:p>
    <w:p w:rsidR="00147E74" w:rsidRDefault="00147E74" w:rsidP="006F5C0D">
      <w:pPr>
        <w:rPr>
          <w:rFonts w:ascii="Times New Roman" w:hAnsi="Times New Roman" w:cs="Times New Roman"/>
          <w:sz w:val="24"/>
          <w:szCs w:val="24"/>
        </w:rPr>
      </w:pPr>
    </w:p>
    <w:p w:rsidR="00147E74" w:rsidRDefault="00147E74" w:rsidP="006F5C0D">
      <w:pPr>
        <w:rPr>
          <w:rFonts w:ascii="Times New Roman" w:hAnsi="Times New Roman" w:cs="Times New Roman"/>
          <w:sz w:val="24"/>
          <w:szCs w:val="24"/>
        </w:rPr>
      </w:pPr>
    </w:p>
    <w:p w:rsidR="00147E74" w:rsidRDefault="00147E74" w:rsidP="006F5C0D">
      <w:pPr>
        <w:rPr>
          <w:rFonts w:ascii="Times New Roman" w:hAnsi="Times New Roman" w:cs="Times New Roman"/>
          <w:sz w:val="24"/>
          <w:szCs w:val="24"/>
        </w:rPr>
      </w:pPr>
    </w:p>
    <w:p w:rsidR="00147E74" w:rsidRDefault="00147E74" w:rsidP="006F5C0D">
      <w:pPr>
        <w:rPr>
          <w:rFonts w:ascii="Times New Roman" w:hAnsi="Times New Roman" w:cs="Times New Roman"/>
          <w:sz w:val="24"/>
          <w:szCs w:val="24"/>
        </w:rPr>
      </w:pPr>
    </w:p>
    <w:p w:rsidR="00147E74" w:rsidRDefault="00147E74" w:rsidP="006F5C0D">
      <w:pPr>
        <w:rPr>
          <w:rFonts w:ascii="Times New Roman" w:hAnsi="Times New Roman" w:cs="Times New Roman"/>
          <w:sz w:val="24"/>
          <w:szCs w:val="24"/>
        </w:rPr>
      </w:pPr>
    </w:p>
    <w:p w:rsidR="00147E74" w:rsidRDefault="00147E74" w:rsidP="006F5C0D">
      <w:pPr>
        <w:rPr>
          <w:rFonts w:ascii="Times New Roman" w:hAnsi="Times New Roman" w:cs="Times New Roman"/>
          <w:sz w:val="24"/>
          <w:szCs w:val="24"/>
        </w:rPr>
      </w:pPr>
    </w:p>
    <w:p w:rsidR="00147E74" w:rsidRDefault="00147E74" w:rsidP="006F5C0D">
      <w:pPr>
        <w:rPr>
          <w:rFonts w:ascii="Times New Roman" w:hAnsi="Times New Roman" w:cs="Times New Roman"/>
          <w:sz w:val="24"/>
          <w:szCs w:val="24"/>
        </w:rPr>
      </w:pPr>
    </w:p>
    <w:p w:rsidR="00147E74" w:rsidRDefault="00147E74" w:rsidP="006F5C0D">
      <w:pPr>
        <w:rPr>
          <w:rFonts w:ascii="Times New Roman" w:hAnsi="Times New Roman" w:cs="Times New Roman"/>
          <w:sz w:val="24"/>
          <w:szCs w:val="24"/>
        </w:rPr>
      </w:pPr>
    </w:p>
    <w:p w:rsidR="00147E74" w:rsidRDefault="00147E74" w:rsidP="006F5C0D">
      <w:pPr>
        <w:rPr>
          <w:rFonts w:ascii="Times New Roman" w:hAnsi="Times New Roman" w:cs="Times New Roman"/>
          <w:sz w:val="24"/>
          <w:szCs w:val="24"/>
        </w:rPr>
      </w:pPr>
    </w:p>
    <w:p w:rsidR="00147E74" w:rsidRPr="00B06198" w:rsidRDefault="00147E74" w:rsidP="006F5C0D">
      <w:pPr>
        <w:jc w:val="center"/>
        <w:rPr>
          <w:rFonts w:ascii="Times New Roman" w:hAnsi="Times New Roman" w:cs="Times New Roman"/>
          <w:b/>
          <w:sz w:val="24"/>
          <w:szCs w:val="24"/>
        </w:rPr>
      </w:pPr>
      <w:r w:rsidRPr="00B06198">
        <w:rPr>
          <w:rFonts w:ascii="Times New Roman" w:hAnsi="Times New Roman" w:cs="Times New Roman"/>
          <w:b/>
          <w:sz w:val="24"/>
          <w:szCs w:val="24"/>
        </w:rPr>
        <w:lastRenderedPageBreak/>
        <w:t xml:space="preserve">References </w:t>
      </w:r>
    </w:p>
    <w:p w:rsidR="00147E74" w:rsidRPr="00147E74" w:rsidRDefault="00147E74" w:rsidP="006F5C0D">
      <w:pPr>
        <w:rPr>
          <w:rFonts w:ascii="Times New Roman" w:hAnsi="Times New Roman" w:cs="Times New Roman"/>
          <w:sz w:val="24"/>
          <w:szCs w:val="24"/>
        </w:rPr>
      </w:pPr>
      <w:hyperlink r:id="rId7" w:history="1">
        <w:r w:rsidRPr="00147E74">
          <w:rPr>
            <w:rStyle w:val="Hyperlink"/>
            <w:rFonts w:ascii="Times New Roman" w:hAnsi="Times New Roman" w:cs="Times New Roman"/>
            <w:sz w:val="24"/>
            <w:szCs w:val="24"/>
          </w:rPr>
          <w:t>https://www.consumer.ftc.gov/articles/0300-ftc-funeral-rule</w:t>
        </w:r>
      </w:hyperlink>
    </w:p>
    <w:sectPr w:rsidR="00147E74" w:rsidRPr="00147E74" w:rsidSect="00730CCA">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854F1" w:rsidRDefault="002854F1" w:rsidP="00A260C9">
      <w:pPr>
        <w:spacing w:after="0" w:line="240" w:lineRule="auto"/>
      </w:pPr>
      <w:r>
        <w:separator/>
      </w:r>
    </w:p>
  </w:endnote>
  <w:endnote w:type="continuationSeparator" w:id="0">
    <w:p w:rsidR="002854F1" w:rsidRDefault="002854F1" w:rsidP="00A260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854F1" w:rsidRDefault="002854F1" w:rsidP="00A260C9">
      <w:pPr>
        <w:spacing w:after="0" w:line="240" w:lineRule="auto"/>
      </w:pPr>
      <w:r>
        <w:separator/>
      </w:r>
    </w:p>
  </w:footnote>
  <w:footnote w:type="continuationSeparator" w:id="0">
    <w:p w:rsidR="002854F1" w:rsidRDefault="002854F1" w:rsidP="00A260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60C9" w:rsidRPr="00A260C9" w:rsidRDefault="007F0D7A" w:rsidP="00A260C9">
    <w:pPr>
      <w:pStyle w:val="Header"/>
      <w:rPr>
        <w:rFonts w:ascii="Times New Roman" w:hAnsi="Times New Roman" w:cs="Times New Roman"/>
        <w:sz w:val="24"/>
        <w:szCs w:val="24"/>
      </w:rPr>
    </w:pPr>
    <w:r>
      <w:rPr>
        <w:rFonts w:ascii="Times New Roman" w:hAnsi="Times New Roman" w:cs="Times New Roman"/>
        <w:sz w:val="24"/>
        <w:szCs w:val="24"/>
      </w:rPr>
      <w:t>SMALL BUSINESS LAW</w:t>
    </w:r>
    <w:r w:rsidR="00A260C9" w:rsidRPr="00A260C9">
      <w:rPr>
        <w:rFonts w:ascii="Times New Roman" w:hAnsi="Times New Roman" w:cs="Times New Roman"/>
        <w:sz w:val="24"/>
        <w:szCs w:val="24"/>
      </w:rPr>
      <w:tab/>
    </w:r>
    <w:r w:rsidR="00A260C9" w:rsidRPr="00A260C9">
      <w:rPr>
        <w:rFonts w:ascii="Times New Roman" w:hAnsi="Times New Roman" w:cs="Times New Roman"/>
        <w:sz w:val="24"/>
        <w:szCs w:val="24"/>
      </w:rPr>
      <w:tab/>
    </w:r>
    <w:sdt>
      <w:sdtPr>
        <w:rPr>
          <w:rFonts w:ascii="Times New Roman" w:hAnsi="Times New Roman" w:cs="Times New Roman"/>
          <w:sz w:val="24"/>
          <w:szCs w:val="24"/>
        </w:rPr>
        <w:id w:val="1666043591"/>
        <w:docPartObj>
          <w:docPartGallery w:val="Page Numbers (Top of Page)"/>
          <w:docPartUnique/>
        </w:docPartObj>
      </w:sdtPr>
      <w:sdtEndPr>
        <w:rPr>
          <w:noProof/>
        </w:rPr>
      </w:sdtEndPr>
      <w:sdtContent>
        <w:r w:rsidR="00A260C9" w:rsidRPr="00A260C9">
          <w:rPr>
            <w:rFonts w:ascii="Times New Roman" w:hAnsi="Times New Roman" w:cs="Times New Roman"/>
            <w:sz w:val="24"/>
            <w:szCs w:val="24"/>
          </w:rPr>
          <w:fldChar w:fldCharType="begin"/>
        </w:r>
        <w:r w:rsidR="00A260C9" w:rsidRPr="00A260C9">
          <w:rPr>
            <w:rFonts w:ascii="Times New Roman" w:hAnsi="Times New Roman" w:cs="Times New Roman"/>
            <w:sz w:val="24"/>
            <w:szCs w:val="24"/>
          </w:rPr>
          <w:instrText xml:space="preserve"> PAGE   \* MERGEFORMAT </w:instrText>
        </w:r>
        <w:r w:rsidR="00A260C9" w:rsidRPr="00A260C9">
          <w:rPr>
            <w:rFonts w:ascii="Times New Roman" w:hAnsi="Times New Roman" w:cs="Times New Roman"/>
            <w:sz w:val="24"/>
            <w:szCs w:val="24"/>
          </w:rPr>
          <w:fldChar w:fldCharType="separate"/>
        </w:r>
        <w:r w:rsidR="006E411C">
          <w:rPr>
            <w:rFonts w:ascii="Times New Roman" w:hAnsi="Times New Roman" w:cs="Times New Roman"/>
            <w:noProof/>
            <w:sz w:val="24"/>
            <w:szCs w:val="24"/>
          </w:rPr>
          <w:t>3</w:t>
        </w:r>
        <w:r w:rsidR="00A260C9" w:rsidRPr="00A260C9">
          <w:rPr>
            <w:rFonts w:ascii="Times New Roman" w:hAnsi="Times New Roman" w:cs="Times New Roman"/>
            <w:noProof/>
            <w:sz w:val="24"/>
            <w:szCs w:val="24"/>
          </w:rPr>
          <w:fldChar w:fldCharType="end"/>
        </w:r>
      </w:sdtContent>
    </w:sdt>
  </w:p>
  <w:p w:rsidR="00A260C9" w:rsidRPr="00A260C9" w:rsidRDefault="00A260C9">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0CCA" w:rsidRPr="00730CCA" w:rsidRDefault="00730CCA" w:rsidP="00730CCA">
    <w:pPr>
      <w:pStyle w:val="Header"/>
      <w:rPr>
        <w:rFonts w:ascii="Times New Roman" w:hAnsi="Times New Roman" w:cs="Times New Roman"/>
        <w:sz w:val="24"/>
        <w:szCs w:val="24"/>
      </w:rPr>
    </w:pPr>
    <w:r w:rsidRPr="00730CCA">
      <w:rPr>
        <w:rFonts w:ascii="Times New Roman" w:hAnsi="Times New Roman" w:cs="Times New Roman"/>
        <w:sz w:val="24"/>
        <w:szCs w:val="24"/>
      </w:rPr>
      <w:t xml:space="preserve">Running </w:t>
    </w:r>
    <w:r>
      <w:rPr>
        <w:rFonts w:ascii="Times New Roman" w:hAnsi="Times New Roman" w:cs="Times New Roman"/>
        <w:sz w:val="24"/>
        <w:szCs w:val="24"/>
      </w:rPr>
      <w:t xml:space="preserve">head: </w:t>
    </w:r>
    <w:r w:rsidR="007F0D7A">
      <w:rPr>
        <w:rFonts w:ascii="Times New Roman" w:hAnsi="Times New Roman" w:cs="Times New Roman"/>
        <w:sz w:val="24"/>
        <w:szCs w:val="24"/>
      </w:rPr>
      <w:t>SMALL BUSINESS LAW</w:t>
    </w:r>
    <w:r w:rsidR="007F0D7A">
      <w:rPr>
        <w:rFonts w:ascii="Times New Roman" w:hAnsi="Times New Roman" w:cs="Times New Roman"/>
        <w:sz w:val="24"/>
        <w:szCs w:val="24"/>
      </w:rPr>
      <w:tab/>
    </w:r>
    <w:r w:rsidRPr="00730CCA">
      <w:rPr>
        <w:rFonts w:ascii="Times New Roman" w:hAnsi="Times New Roman" w:cs="Times New Roman"/>
        <w:sz w:val="24"/>
        <w:szCs w:val="24"/>
      </w:rPr>
      <w:t xml:space="preserve"> </w:t>
    </w:r>
    <w:r w:rsidRPr="00730CCA">
      <w:rPr>
        <w:rFonts w:ascii="Times New Roman" w:hAnsi="Times New Roman" w:cs="Times New Roman"/>
        <w:sz w:val="24"/>
        <w:szCs w:val="24"/>
      </w:rPr>
      <w:tab/>
    </w:r>
    <w:sdt>
      <w:sdtPr>
        <w:rPr>
          <w:rFonts w:ascii="Times New Roman" w:hAnsi="Times New Roman" w:cs="Times New Roman"/>
          <w:sz w:val="24"/>
          <w:szCs w:val="24"/>
        </w:rPr>
        <w:id w:val="717859058"/>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730CCA">
          <w:rPr>
            <w:rFonts w:ascii="Times New Roman" w:hAnsi="Times New Roman" w:cs="Times New Roman"/>
            <w:sz w:val="24"/>
            <w:szCs w:val="24"/>
          </w:rPr>
          <w:fldChar w:fldCharType="begin"/>
        </w:r>
        <w:r w:rsidRPr="00730CCA">
          <w:rPr>
            <w:rFonts w:ascii="Times New Roman" w:hAnsi="Times New Roman" w:cs="Times New Roman"/>
            <w:sz w:val="24"/>
            <w:szCs w:val="24"/>
          </w:rPr>
          <w:instrText xml:space="preserve"> PAGE   \* MERGEFORMAT </w:instrText>
        </w:r>
        <w:r w:rsidRPr="00730CCA">
          <w:rPr>
            <w:rFonts w:ascii="Times New Roman" w:hAnsi="Times New Roman" w:cs="Times New Roman"/>
            <w:sz w:val="24"/>
            <w:szCs w:val="24"/>
          </w:rPr>
          <w:fldChar w:fldCharType="separate"/>
        </w:r>
        <w:r w:rsidR="006E411C">
          <w:rPr>
            <w:rFonts w:ascii="Times New Roman" w:hAnsi="Times New Roman" w:cs="Times New Roman"/>
            <w:noProof/>
            <w:sz w:val="24"/>
            <w:szCs w:val="24"/>
          </w:rPr>
          <w:t>1</w:t>
        </w:r>
        <w:r w:rsidRPr="00730CCA">
          <w:rPr>
            <w:rFonts w:ascii="Times New Roman" w:hAnsi="Times New Roman" w:cs="Times New Roman"/>
            <w:noProof/>
            <w:sz w:val="24"/>
            <w:szCs w:val="24"/>
          </w:rPr>
          <w:fldChar w:fldCharType="end"/>
        </w:r>
      </w:sdtContent>
    </w:sdt>
  </w:p>
  <w:p w:rsidR="00730CCA" w:rsidRPr="00730CCA" w:rsidRDefault="00730CCA">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2035E0"/>
    <w:multiLevelType w:val="hybridMultilevel"/>
    <w:tmpl w:val="330CAC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19760A9"/>
    <w:multiLevelType w:val="hybridMultilevel"/>
    <w:tmpl w:val="ED907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D4E1B05"/>
    <w:multiLevelType w:val="hybridMultilevel"/>
    <w:tmpl w:val="E2209FC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581B4C32"/>
    <w:multiLevelType w:val="hybridMultilevel"/>
    <w:tmpl w:val="CC6E13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LAwMbc0t7QwMDMwNDZW0lEKTi0uzszPAykwrwUA7IfxUCwAAAA="/>
  </w:docVars>
  <w:rsids>
    <w:rsidRoot w:val="00A260C9"/>
    <w:rsid w:val="00010D56"/>
    <w:rsid w:val="000174EF"/>
    <w:rsid w:val="00021452"/>
    <w:rsid w:val="00026CFF"/>
    <w:rsid w:val="000309BC"/>
    <w:rsid w:val="000322F8"/>
    <w:rsid w:val="0004767C"/>
    <w:rsid w:val="0007454A"/>
    <w:rsid w:val="000767C0"/>
    <w:rsid w:val="000B1D67"/>
    <w:rsid w:val="000C4583"/>
    <w:rsid w:val="000F1A5B"/>
    <w:rsid w:val="000F79A1"/>
    <w:rsid w:val="00121183"/>
    <w:rsid w:val="00147E74"/>
    <w:rsid w:val="001573DF"/>
    <w:rsid w:val="0016005D"/>
    <w:rsid w:val="001819D2"/>
    <w:rsid w:val="00182E3A"/>
    <w:rsid w:val="001878A3"/>
    <w:rsid w:val="001B3EC1"/>
    <w:rsid w:val="001E0E9F"/>
    <w:rsid w:val="001E15C7"/>
    <w:rsid w:val="001E1E2A"/>
    <w:rsid w:val="00214C45"/>
    <w:rsid w:val="00222826"/>
    <w:rsid w:val="00250818"/>
    <w:rsid w:val="00254FE7"/>
    <w:rsid w:val="00266764"/>
    <w:rsid w:val="002854F1"/>
    <w:rsid w:val="002A00EC"/>
    <w:rsid w:val="002B4DB6"/>
    <w:rsid w:val="002D3C0E"/>
    <w:rsid w:val="0030074B"/>
    <w:rsid w:val="003743EE"/>
    <w:rsid w:val="00382CBF"/>
    <w:rsid w:val="003A66A1"/>
    <w:rsid w:val="003B10C0"/>
    <w:rsid w:val="003C5DF1"/>
    <w:rsid w:val="003D6594"/>
    <w:rsid w:val="003E743B"/>
    <w:rsid w:val="00421B13"/>
    <w:rsid w:val="00446396"/>
    <w:rsid w:val="004A082C"/>
    <w:rsid w:val="004E1465"/>
    <w:rsid w:val="005140B2"/>
    <w:rsid w:val="005354DB"/>
    <w:rsid w:val="005A5CB0"/>
    <w:rsid w:val="005B06FA"/>
    <w:rsid w:val="005D1391"/>
    <w:rsid w:val="005D51C0"/>
    <w:rsid w:val="00602951"/>
    <w:rsid w:val="00612287"/>
    <w:rsid w:val="00635A18"/>
    <w:rsid w:val="006B5623"/>
    <w:rsid w:val="006E411C"/>
    <w:rsid w:val="006E615D"/>
    <w:rsid w:val="006F5C0D"/>
    <w:rsid w:val="006F6A2E"/>
    <w:rsid w:val="0071554C"/>
    <w:rsid w:val="00730CCA"/>
    <w:rsid w:val="00760F87"/>
    <w:rsid w:val="00770417"/>
    <w:rsid w:val="00794EB1"/>
    <w:rsid w:val="00797279"/>
    <w:rsid w:val="007B53FA"/>
    <w:rsid w:val="007D1C74"/>
    <w:rsid w:val="007E586A"/>
    <w:rsid w:val="007F0D7A"/>
    <w:rsid w:val="007F15F0"/>
    <w:rsid w:val="008149FC"/>
    <w:rsid w:val="00821FB9"/>
    <w:rsid w:val="0083347C"/>
    <w:rsid w:val="00842C4F"/>
    <w:rsid w:val="00845CC9"/>
    <w:rsid w:val="00875627"/>
    <w:rsid w:val="00880D8B"/>
    <w:rsid w:val="00894E78"/>
    <w:rsid w:val="008A6C47"/>
    <w:rsid w:val="008C0203"/>
    <w:rsid w:val="008D35E6"/>
    <w:rsid w:val="008E3E8D"/>
    <w:rsid w:val="008E5FAD"/>
    <w:rsid w:val="00942EB6"/>
    <w:rsid w:val="00961BC5"/>
    <w:rsid w:val="009664CE"/>
    <w:rsid w:val="00967993"/>
    <w:rsid w:val="009813C1"/>
    <w:rsid w:val="00996461"/>
    <w:rsid w:val="009A5FA0"/>
    <w:rsid w:val="009C2DA3"/>
    <w:rsid w:val="00A14208"/>
    <w:rsid w:val="00A260C9"/>
    <w:rsid w:val="00A35DA0"/>
    <w:rsid w:val="00A44508"/>
    <w:rsid w:val="00A57B46"/>
    <w:rsid w:val="00A71CE6"/>
    <w:rsid w:val="00A817EA"/>
    <w:rsid w:val="00A83B77"/>
    <w:rsid w:val="00A85D6C"/>
    <w:rsid w:val="00A87C96"/>
    <w:rsid w:val="00A95D5C"/>
    <w:rsid w:val="00AC75F7"/>
    <w:rsid w:val="00AD5A16"/>
    <w:rsid w:val="00AE1EBC"/>
    <w:rsid w:val="00B06198"/>
    <w:rsid w:val="00B43074"/>
    <w:rsid w:val="00B47AB1"/>
    <w:rsid w:val="00B819F5"/>
    <w:rsid w:val="00B84EDF"/>
    <w:rsid w:val="00BC2774"/>
    <w:rsid w:val="00BD58F0"/>
    <w:rsid w:val="00BF6063"/>
    <w:rsid w:val="00BF7167"/>
    <w:rsid w:val="00C13C05"/>
    <w:rsid w:val="00C271A1"/>
    <w:rsid w:val="00C36B0D"/>
    <w:rsid w:val="00C541FA"/>
    <w:rsid w:val="00C63727"/>
    <w:rsid w:val="00C643F3"/>
    <w:rsid w:val="00C6755F"/>
    <w:rsid w:val="00C925D1"/>
    <w:rsid w:val="00CA156E"/>
    <w:rsid w:val="00CA6C1E"/>
    <w:rsid w:val="00CA6F3A"/>
    <w:rsid w:val="00CB0DE5"/>
    <w:rsid w:val="00CB0EEA"/>
    <w:rsid w:val="00CC650F"/>
    <w:rsid w:val="00CD0892"/>
    <w:rsid w:val="00D00CF8"/>
    <w:rsid w:val="00D06437"/>
    <w:rsid w:val="00D46D30"/>
    <w:rsid w:val="00D54645"/>
    <w:rsid w:val="00D724C7"/>
    <w:rsid w:val="00DA0B39"/>
    <w:rsid w:val="00DB5B10"/>
    <w:rsid w:val="00DD1823"/>
    <w:rsid w:val="00DD2B96"/>
    <w:rsid w:val="00DF56A4"/>
    <w:rsid w:val="00E029F4"/>
    <w:rsid w:val="00E03FDC"/>
    <w:rsid w:val="00E12459"/>
    <w:rsid w:val="00E7104C"/>
    <w:rsid w:val="00E85610"/>
    <w:rsid w:val="00E97215"/>
    <w:rsid w:val="00EE1345"/>
    <w:rsid w:val="00F24CF8"/>
    <w:rsid w:val="00F555A3"/>
    <w:rsid w:val="00F62E04"/>
    <w:rsid w:val="00F66709"/>
    <w:rsid w:val="00FA5E28"/>
    <w:rsid w:val="00FB2039"/>
    <w:rsid w:val="00FB24B4"/>
    <w:rsid w:val="00FB2C1D"/>
    <w:rsid w:val="00FC2CAE"/>
    <w:rsid w:val="00FD4970"/>
    <w:rsid w:val="00FE51B7"/>
    <w:rsid w:val="00FE69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180B274-EAA8-4D18-8B76-B03D3ABD5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60C9"/>
    <w:pPr>
      <w:spacing w:line="480"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60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60C9"/>
  </w:style>
  <w:style w:type="paragraph" w:styleId="Footer">
    <w:name w:val="footer"/>
    <w:basedOn w:val="Normal"/>
    <w:link w:val="FooterChar"/>
    <w:uiPriority w:val="99"/>
    <w:unhideWhenUsed/>
    <w:rsid w:val="00A260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60C9"/>
  </w:style>
  <w:style w:type="paragraph" w:styleId="ListParagraph">
    <w:name w:val="List Paragraph"/>
    <w:basedOn w:val="Normal"/>
    <w:uiPriority w:val="34"/>
    <w:qFormat/>
    <w:rsid w:val="00FB24B4"/>
    <w:pPr>
      <w:spacing w:after="200" w:line="276" w:lineRule="auto"/>
      <w:ind w:left="720"/>
      <w:contextualSpacing/>
    </w:pPr>
    <w:rPr>
      <w:lang w:val="en-US"/>
    </w:rPr>
  </w:style>
  <w:style w:type="character" w:styleId="Hyperlink">
    <w:name w:val="Hyperlink"/>
    <w:basedOn w:val="DefaultParagraphFont"/>
    <w:uiPriority w:val="99"/>
    <w:unhideWhenUsed/>
    <w:rsid w:val="00147E7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5239718">
      <w:bodyDiv w:val="1"/>
      <w:marLeft w:val="0"/>
      <w:marRight w:val="0"/>
      <w:marTop w:val="0"/>
      <w:marBottom w:val="0"/>
      <w:divBdr>
        <w:top w:val="none" w:sz="0" w:space="0" w:color="auto"/>
        <w:left w:val="none" w:sz="0" w:space="0" w:color="auto"/>
        <w:bottom w:val="none" w:sz="0" w:space="0" w:color="auto"/>
        <w:right w:val="none" w:sz="0" w:space="0" w:color="auto"/>
      </w:divBdr>
      <w:divsChild>
        <w:div w:id="1006710798">
          <w:marLeft w:val="0"/>
          <w:marRight w:val="0"/>
          <w:marTop w:val="0"/>
          <w:marBottom w:val="0"/>
          <w:divBdr>
            <w:top w:val="none" w:sz="0" w:space="0" w:color="auto"/>
            <w:left w:val="none" w:sz="0" w:space="0" w:color="auto"/>
            <w:bottom w:val="single" w:sz="6" w:space="3" w:color="D0D4D7"/>
            <w:right w:val="none" w:sz="0" w:space="0" w:color="auto"/>
          </w:divBdr>
          <w:divsChild>
            <w:div w:id="1751388833">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consumer.ftc.gov/articles/0300-ftc-funeral-rul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4</Pages>
  <Words>366</Words>
  <Characters>2087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dc:creator>
  <cp:keywords/>
  <dc:description/>
  <cp:lastModifiedBy>PC</cp:lastModifiedBy>
  <cp:revision>7</cp:revision>
  <dcterms:created xsi:type="dcterms:W3CDTF">2019-05-13T22:57:00Z</dcterms:created>
  <dcterms:modified xsi:type="dcterms:W3CDTF">2019-05-13T23:40:00Z</dcterms:modified>
</cp:coreProperties>
</file>